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776F" w14:textId="630AE5D2" w:rsidR="0054269F" w:rsidRPr="003946FE" w:rsidRDefault="00D51F83" w:rsidP="00763B06">
      <w:pPr>
        <w:spacing w:line="440" w:lineRule="exact"/>
        <w:ind w:right="-1"/>
        <w:jc w:val="center"/>
        <w:rPr>
          <w:b/>
          <w:sz w:val="32"/>
          <w:szCs w:val="32"/>
        </w:rPr>
      </w:pPr>
      <w:r w:rsidRPr="003946FE">
        <w:rPr>
          <w:rFonts w:hint="eastAsia"/>
          <w:b/>
          <w:sz w:val="32"/>
          <w:szCs w:val="32"/>
        </w:rPr>
        <w:t>國立臺灣大學</w:t>
      </w:r>
      <w:r w:rsidR="0060386C">
        <w:rPr>
          <w:rFonts w:hint="eastAsia"/>
          <w:b/>
          <w:sz w:val="32"/>
          <w:szCs w:val="32"/>
        </w:rPr>
        <w:t>工學院</w:t>
      </w:r>
      <w:r w:rsidR="005B7A70" w:rsidRPr="005B7A70">
        <w:rPr>
          <w:rFonts w:hint="eastAsia"/>
          <w:b/>
          <w:sz w:val="32"/>
          <w:szCs w:val="32"/>
        </w:rPr>
        <w:t>分子科學與技術國際研究生博士學位學程</w:t>
      </w:r>
      <w:r w:rsidR="00A87800" w:rsidRPr="003946FE">
        <w:rPr>
          <w:rFonts w:hint="eastAsia"/>
          <w:b/>
          <w:sz w:val="32"/>
          <w:szCs w:val="32"/>
        </w:rPr>
        <w:t>學位論文品質與管考準則</w:t>
      </w:r>
    </w:p>
    <w:p w14:paraId="20819C0B" w14:textId="19AE676B" w:rsidR="00D51F83" w:rsidRPr="003946FE" w:rsidRDefault="00AE4F20" w:rsidP="008D5C03">
      <w:pPr>
        <w:spacing w:line="0" w:lineRule="atLeast"/>
        <w:jc w:val="right"/>
        <w:rPr>
          <w:rFonts w:cs="Times New Roman"/>
          <w:color w:val="000000" w:themeColor="text1"/>
          <w:sz w:val="20"/>
        </w:rPr>
      </w:pPr>
      <w:r>
        <w:rPr>
          <w:rFonts w:cs="Times New Roman" w:hint="eastAsia"/>
          <w:color w:val="000000" w:themeColor="text1"/>
          <w:sz w:val="20"/>
        </w:rPr>
        <w:t>1</w:t>
      </w:r>
      <w:r>
        <w:rPr>
          <w:rFonts w:cs="Times New Roman"/>
          <w:color w:val="000000" w:themeColor="text1"/>
          <w:sz w:val="20"/>
        </w:rPr>
        <w:t>12</w:t>
      </w:r>
      <w:r>
        <w:rPr>
          <w:rFonts w:cs="Times New Roman" w:hint="eastAsia"/>
          <w:color w:val="000000" w:themeColor="text1"/>
          <w:sz w:val="20"/>
        </w:rPr>
        <w:t>.</w:t>
      </w:r>
      <w:r w:rsidR="00D65DF0">
        <w:rPr>
          <w:rFonts w:cs="Times New Roman"/>
          <w:color w:val="000000" w:themeColor="text1"/>
          <w:sz w:val="20"/>
        </w:rPr>
        <w:t>0</w:t>
      </w:r>
      <w:r w:rsidR="001D1CC9">
        <w:rPr>
          <w:rFonts w:cs="Times New Roman" w:hint="eastAsia"/>
          <w:color w:val="000000" w:themeColor="text1"/>
          <w:sz w:val="20"/>
        </w:rPr>
        <w:t>9</w:t>
      </w:r>
      <w:r>
        <w:rPr>
          <w:rFonts w:cs="Times New Roman" w:hint="eastAsia"/>
          <w:color w:val="000000" w:themeColor="text1"/>
          <w:sz w:val="20"/>
        </w:rPr>
        <w:t>.</w:t>
      </w:r>
      <w:r w:rsidR="001D1CC9">
        <w:rPr>
          <w:rFonts w:cs="Times New Roman" w:hint="eastAsia"/>
          <w:color w:val="000000" w:themeColor="text1"/>
          <w:sz w:val="20"/>
        </w:rPr>
        <w:t>1</w:t>
      </w:r>
      <w:r w:rsidR="001D1CC9">
        <w:rPr>
          <w:rFonts w:cs="Times New Roman"/>
          <w:color w:val="000000" w:themeColor="text1"/>
          <w:sz w:val="20"/>
        </w:rPr>
        <w:t>8</w:t>
      </w:r>
      <w:r w:rsidR="00A96165">
        <w:rPr>
          <w:rFonts w:cs="Times New Roman"/>
          <w:color w:val="000000" w:themeColor="text1"/>
          <w:sz w:val="20"/>
        </w:rPr>
        <w:t xml:space="preserve">  </w:t>
      </w:r>
      <w:r w:rsidR="00B27A1C">
        <w:rPr>
          <w:rFonts w:cs="Times New Roman" w:hint="eastAsia"/>
          <w:color w:val="000000" w:themeColor="text1"/>
          <w:sz w:val="20"/>
        </w:rPr>
        <w:t>1</w:t>
      </w:r>
      <w:r w:rsidR="00B27A1C">
        <w:rPr>
          <w:rFonts w:cs="Times New Roman"/>
          <w:color w:val="000000" w:themeColor="text1"/>
          <w:sz w:val="20"/>
        </w:rPr>
        <w:t>12</w:t>
      </w:r>
      <w:r w:rsidR="008D5C03" w:rsidRPr="003946FE">
        <w:rPr>
          <w:rFonts w:cs="Times New Roman" w:hint="eastAsia"/>
          <w:color w:val="000000" w:themeColor="text1"/>
          <w:sz w:val="20"/>
        </w:rPr>
        <w:t>學年度第</w:t>
      </w:r>
      <w:r w:rsidR="001D1CC9">
        <w:rPr>
          <w:rFonts w:cs="Times New Roman" w:hint="eastAsia"/>
          <w:color w:val="000000" w:themeColor="text1"/>
          <w:sz w:val="20"/>
        </w:rPr>
        <w:t>1</w:t>
      </w:r>
      <w:r w:rsidR="008D5C03" w:rsidRPr="003946FE">
        <w:rPr>
          <w:rFonts w:cs="Times New Roman" w:hint="eastAsia"/>
          <w:color w:val="000000" w:themeColor="text1"/>
          <w:sz w:val="20"/>
        </w:rPr>
        <w:t>次</w:t>
      </w:r>
      <w:r w:rsidR="009A576E" w:rsidRPr="003946FE">
        <w:rPr>
          <w:rFonts w:cs="Times New Roman" w:hint="eastAsia"/>
          <w:color w:val="000000" w:themeColor="text1"/>
          <w:sz w:val="20"/>
        </w:rPr>
        <w:t>學程</w:t>
      </w:r>
      <w:r w:rsidR="008D5C03" w:rsidRPr="003946FE">
        <w:rPr>
          <w:rFonts w:cs="Times New Roman" w:hint="eastAsia"/>
          <w:color w:val="000000" w:themeColor="text1"/>
          <w:sz w:val="20"/>
        </w:rPr>
        <w:t>會議</w:t>
      </w:r>
      <w:r w:rsidR="00100E67" w:rsidRPr="003946FE">
        <w:rPr>
          <w:rFonts w:cs="Times New Roman" w:hint="eastAsia"/>
          <w:color w:val="000000" w:themeColor="text1"/>
          <w:sz w:val="20"/>
        </w:rPr>
        <w:t>通過</w:t>
      </w:r>
    </w:p>
    <w:p w14:paraId="2AABA26F" w14:textId="772EEEC6" w:rsidR="00D51F83" w:rsidRDefault="00B65259" w:rsidP="00B27A1C">
      <w:pPr>
        <w:spacing w:line="0" w:lineRule="atLeast"/>
        <w:jc w:val="right"/>
        <w:rPr>
          <w:rFonts w:cs="Times New Roman"/>
          <w:color w:val="000000" w:themeColor="text1"/>
          <w:sz w:val="20"/>
        </w:rPr>
      </w:pPr>
      <w:r>
        <w:rPr>
          <w:rFonts w:cs="Times New Roman" w:hint="eastAsia"/>
          <w:color w:val="000000" w:themeColor="text1"/>
          <w:sz w:val="20"/>
        </w:rPr>
        <w:t>112</w:t>
      </w:r>
      <w:r w:rsidR="00A96165">
        <w:rPr>
          <w:rFonts w:cs="Times New Roman" w:hint="eastAsia"/>
          <w:color w:val="000000" w:themeColor="text1"/>
          <w:sz w:val="20"/>
        </w:rPr>
        <w:t>.</w:t>
      </w:r>
      <w:r>
        <w:rPr>
          <w:rFonts w:cs="Times New Roman" w:hint="eastAsia"/>
          <w:color w:val="000000" w:themeColor="text1"/>
          <w:sz w:val="20"/>
        </w:rPr>
        <w:t>11</w:t>
      </w:r>
      <w:r w:rsidR="00A96165">
        <w:rPr>
          <w:rFonts w:cs="Times New Roman" w:hint="eastAsia"/>
          <w:color w:val="000000" w:themeColor="text1"/>
          <w:sz w:val="20"/>
        </w:rPr>
        <w:t>.</w:t>
      </w:r>
      <w:r>
        <w:rPr>
          <w:rFonts w:cs="Times New Roman" w:hint="eastAsia"/>
          <w:color w:val="000000" w:themeColor="text1"/>
          <w:sz w:val="20"/>
        </w:rPr>
        <w:t>29</w:t>
      </w:r>
      <w:r w:rsidR="00A96165">
        <w:rPr>
          <w:rFonts w:cs="Times New Roman" w:hint="eastAsia"/>
          <w:color w:val="000000" w:themeColor="text1"/>
          <w:sz w:val="20"/>
        </w:rPr>
        <w:t xml:space="preserve"> </w:t>
      </w:r>
      <w:r w:rsidR="00A96165">
        <w:rPr>
          <w:rFonts w:cs="Times New Roman"/>
          <w:color w:val="000000" w:themeColor="text1"/>
          <w:sz w:val="20"/>
        </w:rPr>
        <w:t xml:space="preserve"> </w:t>
      </w:r>
      <w:r>
        <w:rPr>
          <w:rFonts w:cs="Times New Roman" w:hint="eastAsia"/>
          <w:color w:val="000000" w:themeColor="text1"/>
          <w:sz w:val="20"/>
        </w:rPr>
        <w:t>112</w:t>
      </w:r>
      <w:r w:rsidR="008D5C03" w:rsidRPr="003946FE">
        <w:rPr>
          <w:rFonts w:cs="Times New Roman" w:hint="eastAsia"/>
          <w:color w:val="000000" w:themeColor="text1"/>
          <w:sz w:val="20"/>
        </w:rPr>
        <w:t>學年度第</w:t>
      </w:r>
      <w:r>
        <w:rPr>
          <w:rFonts w:cs="Times New Roman" w:hint="eastAsia"/>
          <w:color w:val="000000" w:themeColor="text1"/>
          <w:sz w:val="20"/>
        </w:rPr>
        <w:t>1</w:t>
      </w:r>
      <w:r w:rsidR="008D5C03" w:rsidRPr="003946FE">
        <w:rPr>
          <w:rFonts w:cs="Times New Roman" w:hint="eastAsia"/>
          <w:color w:val="000000" w:themeColor="text1"/>
          <w:sz w:val="20"/>
        </w:rPr>
        <w:t>次院務會議通過</w:t>
      </w:r>
    </w:p>
    <w:p w14:paraId="160B2A36" w14:textId="14C093CB" w:rsidR="00D90CA6" w:rsidRPr="003946FE" w:rsidRDefault="00382DEF" w:rsidP="00B27A1C">
      <w:pPr>
        <w:spacing w:line="0" w:lineRule="atLeast"/>
        <w:jc w:val="right"/>
        <w:rPr>
          <w:rFonts w:cs="Times New Roman"/>
          <w:color w:val="000000" w:themeColor="text1"/>
          <w:sz w:val="20"/>
        </w:rPr>
      </w:pPr>
      <w:r>
        <w:rPr>
          <w:rFonts w:cs="Times New Roman" w:hint="eastAsia"/>
          <w:color w:val="000000" w:themeColor="text1"/>
          <w:sz w:val="20"/>
        </w:rPr>
        <w:t xml:space="preserve">112.12.13 </w:t>
      </w:r>
      <w:r w:rsidR="00D90CA6">
        <w:rPr>
          <w:rFonts w:cs="Times New Roman" w:hint="eastAsia"/>
          <w:color w:val="000000" w:themeColor="text1"/>
          <w:sz w:val="20"/>
        </w:rPr>
        <w:t xml:space="preserve"> </w:t>
      </w:r>
      <w:r w:rsidR="00D90CA6" w:rsidRPr="00D90CA6">
        <w:rPr>
          <w:rFonts w:cs="Times New Roman" w:hint="eastAsia"/>
          <w:color w:val="000000" w:themeColor="text1"/>
          <w:sz w:val="20"/>
        </w:rPr>
        <w:t xml:space="preserve"> </w:t>
      </w:r>
      <w:r w:rsidR="00D90CA6" w:rsidRPr="00D90CA6">
        <w:rPr>
          <w:rFonts w:cs="Times New Roman" w:hint="eastAsia"/>
          <w:color w:val="000000" w:themeColor="text1"/>
          <w:sz w:val="20"/>
        </w:rPr>
        <w:t>發布全條文</w:t>
      </w:r>
    </w:p>
    <w:p w14:paraId="15833606" w14:textId="26D68157" w:rsidR="00D51F83" w:rsidRPr="003946FE" w:rsidRDefault="00A87800" w:rsidP="00A87800">
      <w:pPr>
        <w:pStyle w:val="a3"/>
        <w:numPr>
          <w:ilvl w:val="0"/>
          <w:numId w:val="1"/>
        </w:numPr>
        <w:overflowPunct w:val="0"/>
        <w:spacing w:beforeLines="50" w:before="180" w:afterLines="50" w:after="180" w:line="440" w:lineRule="exact"/>
        <w:ind w:leftChars="0" w:left="851" w:hanging="851"/>
        <w:jc w:val="both"/>
        <w:rPr>
          <w:szCs w:val="32"/>
        </w:rPr>
      </w:pPr>
      <w:r w:rsidRPr="003946FE">
        <w:rPr>
          <w:rFonts w:hint="eastAsia"/>
          <w:szCs w:val="32"/>
        </w:rPr>
        <w:t>國立臺灣大學</w:t>
      </w:r>
      <w:r w:rsidR="0060386C">
        <w:rPr>
          <w:rFonts w:hint="eastAsia"/>
          <w:szCs w:val="32"/>
        </w:rPr>
        <w:t>工學院</w:t>
      </w:r>
      <w:r w:rsidR="005B7A70" w:rsidRPr="005B7A70">
        <w:rPr>
          <w:rFonts w:hint="eastAsia"/>
          <w:szCs w:val="32"/>
        </w:rPr>
        <w:t>分子科學與技術國際研究生博士學位學程</w:t>
      </w:r>
      <w:r w:rsidRPr="003946FE">
        <w:rPr>
          <w:rFonts w:hint="eastAsia"/>
          <w:szCs w:val="32"/>
        </w:rPr>
        <w:t>（下稱本學程）為維護研究生之學位論文品質，依國立臺灣大學精進學位論文品質實施辦法</w:t>
      </w:r>
      <w:r w:rsidR="0060386C">
        <w:rPr>
          <w:rFonts w:hint="eastAsia"/>
          <w:szCs w:val="32"/>
        </w:rPr>
        <w:t>第三條規定，</w:t>
      </w:r>
      <w:r w:rsidRPr="003946FE">
        <w:rPr>
          <w:rFonts w:hint="eastAsia"/>
          <w:szCs w:val="32"/>
        </w:rPr>
        <w:t>訂定本準則。</w:t>
      </w:r>
    </w:p>
    <w:p w14:paraId="421DBFE9" w14:textId="77777777" w:rsidR="00A96165" w:rsidRDefault="00100E67" w:rsidP="00100E67">
      <w:pPr>
        <w:pStyle w:val="a3"/>
        <w:numPr>
          <w:ilvl w:val="0"/>
          <w:numId w:val="1"/>
        </w:numPr>
        <w:overflowPunct w:val="0"/>
        <w:spacing w:beforeLines="50" w:before="180" w:line="440" w:lineRule="exact"/>
        <w:ind w:leftChars="0" w:left="851" w:hanging="851"/>
        <w:jc w:val="both"/>
        <w:rPr>
          <w:szCs w:val="32"/>
        </w:rPr>
      </w:pPr>
      <w:r w:rsidRPr="003946FE">
        <w:rPr>
          <w:rFonts w:hint="eastAsia"/>
          <w:szCs w:val="32"/>
        </w:rPr>
        <w:t>本學程</w:t>
      </w:r>
      <w:r w:rsidR="0060386C">
        <w:rPr>
          <w:rFonts w:hint="eastAsia"/>
          <w:szCs w:val="32"/>
        </w:rPr>
        <w:t>教師符合國立臺灣大學學則第六十九條規定者，得擔任論文指導教授。</w:t>
      </w:r>
    </w:p>
    <w:p w14:paraId="60D8C313" w14:textId="2B1AF022" w:rsidR="00EF6C4F" w:rsidRPr="00EC0080" w:rsidRDefault="00B27A1C" w:rsidP="00EF6C4F">
      <w:pPr>
        <w:pStyle w:val="a3"/>
        <w:overflowPunct w:val="0"/>
        <w:spacing w:line="440" w:lineRule="exact"/>
        <w:ind w:leftChars="354" w:left="850"/>
        <w:jc w:val="both"/>
        <w:rPr>
          <w:szCs w:val="32"/>
        </w:rPr>
      </w:pPr>
      <w:r>
        <w:rPr>
          <w:rFonts w:hint="eastAsia"/>
          <w:szCs w:val="32"/>
        </w:rPr>
        <w:t>本學程</w:t>
      </w:r>
      <w:r w:rsidR="00CB3076">
        <w:rPr>
          <w:rFonts w:hint="eastAsia"/>
          <w:szCs w:val="32"/>
        </w:rPr>
        <w:t>教師擔任論文指導教授者，其指導研究生之新收人數，每學年至多以</w:t>
      </w:r>
      <w:r w:rsidR="00EC0080">
        <w:rPr>
          <w:rFonts w:hint="eastAsia"/>
          <w:szCs w:val="32"/>
        </w:rPr>
        <w:t>三</w:t>
      </w:r>
      <w:r w:rsidR="00CB3076" w:rsidRPr="00EC0080">
        <w:rPr>
          <w:rFonts w:hint="eastAsia"/>
          <w:szCs w:val="32"/>
        </w:rPr>
        <w:t>位為原則，指導研究生總人數至多以</w:t>
      </w:r>
      <w:r w:rsidR="00EC0080">
        <w:rPr>
          <w:rFonts w:hint="eastAsia"/>
          <w:szCs w:val="32"/>
        </w:rPr>
        <w:t>六</w:t>
      </w:r>
      <w:r w:rsidR="00CB3076" w:rsidRPr="00EC0080">
        <w:rPr>
          <w:rFonts w:hint="eastAsia"/>
          <w:color w:val="000000" w:themeColor="text1"/>
          <w:szCs w:val="32"/>
        </w:rPr>
        <w:t>位</w:t>
      </w:r>
      <w:r w:rsidR="00CB3076" w:rsidRPr="00EC0080">
        <w:rPr>
          <w:rFonts w:hint="eastAsia"/>
          <w:szCs w:val="32"/>
        </w:rPr>
        <w:t>為原則。</w:t>
      </w:r>
    </w:p>
    <w:p w14:paraId="19F8635A" w14:textId="5C13E3C7" w:rsidR="0060386C" w:rsidRDefault="00EF6C4F" w:rsidP="00EF6C4F">
      <w:pPr>
        <w:pStyle w:val="a3"/>
        <w:overflowPunct w:val="0"/>
        <w:spacing w:line="440" w:lineRule="exact"/>
        <w:ind w:leftChars="354" w:left="850"/>
        <w:jc w:val="both"/>
        <w:rPr>
          <w:szCs w:val="32"/>
        </w:rPr>
      </w:pPr>
      <w:r w:rsidRPr="00EC0080">
        <w:rPr>
          <w:rFonts w:hint="eastAsia"/>
          <w:szCs w:val="32"/>
        </w:rPr>
        <w:t>前項如有異議，由本學程</w:t>
      </w:r>
      <w:r w:rsidR="00EC0080">
        <w:rPr>
          <w:rFonts w:hint="eastAsia"/>
          <w:szCs w:val="32"/>
        </w:rPr>
        <w:t>主任與相關教師</w:t>
      </w:r>
      <w:r w:rsidRPr="00EC0080">
        <w:rPr>
          <w:rFonts w:hint="eastAsia"/>
          <w:szCs w:val="32"/>
        </w:rPr>
        <w:t>協調之。</w:t>
      </w:r>
    </w:p>
    <w:p w14:paraId="219EE093" w14:textId="77777777" w:rsidR="00CB3076" w:rsidRDefault="00CB3076" w:rsidP="00CB3076">
      <w:pPr>
        <w:pStyle w:val="a3"/>
        <w:numPr>
          <w:ilvl w:val="0"/>
          <w:numId w:val="1"/>
        </w:numPr>
        <w:overflowPunct w:val="0"/>
        <w:spacing w:beforeLines="50" w:before="180" w:line="440" w:lineRule="exact"/>
        <w:ind w:leftChars="0" w:left="851" w:hanging="851"/>
        <w:jc w:val="both"/>
        <w:rPr>
          <w:szCs w:val="32"/>
        </w:rPr>
      </w:pPr>
      <w:r>
        <w:rPr>
          <w:rFonts w:hint="eastAsia"/>
          <w:szCs w:val="32"/>
        </w:rPr>
        <w:t>本學程</w:t>
      </w:r>
      <w:r w:rsidR="00100E67" w:rsidRPr="003946FE">
        <w:rPr>
          <w:rFonts w:hint="eastAsia"/>
          <w:szCs w:val="32"/>
        </w:rPr>
        <w:t>研究生之學位論文</w:t>
      </w:r>
      <w:r>
        <w:rPr>
          <w:rFonts w:hint="eastAsia"/>
          <w:szCs w:val="32"/>
        </w:rPr>
        <w:t>應與</w:t>
      </w:r>
      <w:r w:rsidR="00100E67" w:rsidRPr="003946FE">
        <w:rPr>
          <w:rFonts w:hint="eastAsia"/>
          <w:szCs w:val="32"/>
        </w:rPr>
        <w:t>本學程專業領域</w:t>
      </w:r>
      <w:r>
        <w:rPr>
          <w:rFonts w:hint="eastAsia"/>
          <w:szCs w:val="32"/>
        </w:rPr>
        <w:t>相符</w:t>
      </w:r>
      <w:r w:rsidR="00100E67" w:rsidRPr="003946FE">
        <w:rPr>
          <w:rFonts w:hint="eastAsia"/>
          <w:szCs w:val="32"/>
        </w:rPr>
        <w:t>，並經</w:t>
      </w:r>
      <w:r>
        <w:rPr>
          <w:rFonts w:hint="eastAsia"/>
          <w:szCs w:val="32"/>
        </w:rPr>
        <w:t>本學程</w:t>
      </w:r>
      <w:r w:rsidR="00100E67" w:rsidRPr="003946FE">
        <w:rPr>
          <w:rFonts w:hint="eastAsia"/>
          <w:szCs w:val="32"/>
        </w:rPr>
        <w:t>學位考試委員會</w:t>
      </w:r>
      <w:r>
        <w:rPr>
          <w:rFonts w:hint="eastAsia"/>
          <w:szCs w:val="32"/>
        </w:rPr>
        <w:t>審查</w:t>
      </w:r>
      <w:r w:rsidR="00100E67" w:rsidRPr="003946FE">
        <w:rPr>
          <w:rFonts w:hint="eastAsia"/>
          <w:szCs w:val="32"/>
        </w:rPr>
        <w:t>確認</w:t>
      </w:r>
      <w:r>
        <w:rPr>
          <w:rFonts w:hint="eastAsia"/>
          <w:szCs w:val="32"/>
        </w:rPr>
        <w:t>。</w:t>
      </w:r>
    </w:p>
    <w:p w14:paraId="7FE6C2C1" w14:textId="6798DBCB" w:rsidR="00D51F83" w:rsidRDefault="00CB3076" w:rsidP="00CB3076">
      <w:pPr>
        <w:pStyle w:val="a3"/>
        <w:overflowPunct w:val="0"/>
        <w:spacing w:afterLines="50" w:after="180" w:line="440" w:lineRule="exact"/>
        <w:ind w:leftChars="0" w:left="851"/>
        <w:jc w:val="both"/>
        <w:rPr>
          <w:szCs w:val="32"/>
        </w:rPr>
      </w:pPr>
      <w:r w:rsidRPr="00CB3076">
        <w:rPr>
          <w:rFonts w:hint="eastAsia"/>
          <w:szCs w:val="32"/>
        </w:rPr>
        <w:t>本</w:t>
      </w:r>
      <w:r>
        <w:rPr>
          <w:rFonts w:hint="eastAsia"/>
          <w:szCs w:val="32"/>
        </w:rPr>
        <w:t>學程</w:t>
      </w:r>
      <w:r w:rsidRPr="00CB3076">
        <w:rPr>
          <w:rFonts w:hint="eastAsia"/>
          <w:szCs w:val="32"/>
        </w:rPr>
        <w:t>研究生之學位論文</w:t>
      </w:r>
      <w:r w:rsidR="00100E67" w:rsidRPr="003946FE">
        <w:rPr>
          <w:rFonts w:hint="eastAsia"/>
          <w:szCs w:val="32"/>
        </w:rPr>
        <w:t>如有不符本學程專業領域爭議</w:t>
      </w:r>
      <w:r>
        <w:rPr>
          <w:rFonts w:hint="eastAsia"/>
          <w:szCs w:val="32"/>
        </w:rPr>
        <w:t>時</w:t>
      </w:r>
      <w:r w:rsidR="00100E67" w:rsidRPr="003946FE">
        <w:rPr>
          <w:rFonts w:hint="eastAsia"/>
          <w:szCs w:val="32"/>
        </w:rPr>
        <w:t>，依國立臺灣大學研究所博士暨碩士學位考試規則</w:t>
      </w:r>
      <w:r w:rsidRPr="00CB3076">
        <w:rPr>
          <w:rFonts w:hint="eastAsia"/>
          <w:szCs w:val="32"/>
        </w:rPr>
        <w:t>第十條第二項規定</w:t>
      </w:r>
      <w:r w:rsidR="00100E67" w:rsidRPr="003946FE">
        <w:rPr>
          <w:rFonts w:hint="eastAsia"/>
          <w:szCs w:val="32"/>
        </w:rPr>
        <w:t>辦理。</w:t>
      </w:r>
    </w:p>
    <w:p w14:paraId="6E34F04E" w14:textId="4A0A8E87" w:rsidR="00B27A1C" w:rsidRDefault="00B27A1C" w:rsidP="00B27A1C">
      <w:pPr>
        <w:pStyle w:val="a3"/>
        <w:numPr>
          <w:ilvl w:val="0"/>
          <w:numId w:val="1"/>
        </w:numPr>
        <w:overflowPunct w:val="0"/>
        <w:spacing w:beforeLines="50" w:before="180" w:line="440" w:lineRule="exact"/>
        <w:ind w:leftChars="0" w:left="851" w:hanging="851"/>
        <w:jc w:val="both"/>
        <w:rPr>
          <w:szCs w:val="32"/>
        </w:rPr>
      </w:pPr>
      <w:r>
        <w:rPr>
          <w:rFonts w:hint="eastAsia"/>
          <w:szCs w:val="32"/>
        </w:rPr>
        <w:t>本學程</w:t>
      </w:r>
      <w:r w:rsidRPr="00B27A1C">
        <w:rPr>
          <w:rFonts w:hint="eastAsia"/>
          <w:szCs w:val="32"/>
        </w:rPr>
        <w:t>研究生之學位論文，應於定稿後，以排除引言、參考文獻、目錄及附件之版本，由研究生自行或交由指導教授辦理學位論文原創性檢查作業。</w:t>
      </w:r>
    </w:p>
    <w:p w14:paraId="258E0FFE" w14:textId="71AF00F2" w:rsidR="00B27A1C" w:rsidRDefault="00B27A1C" w:rsidP="00B27A1C">
      <w:pPr>
        <w:pStyle w:val="a3"/>
        <w:overflowPunct w:val="0"/>
        <w:spacing w:line="440" w:lineRule="exact"/>
        <w:ind w:leftChars="0" w:left="851"/>
        <w:jc w:val="both"/>
        <w:rPr>
          <w:rFonts w:ascii="標楷體" w:hAnsi="標楷體"/>
          <w:szCs w:val="24"/>
        </w:rPr>
      </w:pPr>
      <w:r w:rsidRPr="00EB35BE">
        <w:rPr>
          <w:rFonts w:ascii="標楷體" w:hAnsi="標楷體" w:hint="eastAsia"/>
          <w:szCs w:val="24"/>
        </w:rPr>
        <w:t>前項學位論文原創性檢查之比對相似度，應低於</w:t>
      </w:r>
      <w:r w:rsidRPr="005B7A70">
        <w:rPr>
          <w:rFonts w:ascii="標楷體" w:hAnsi="標楷體" w:hint="eastAsia"/>
          <w:szCs w:val="24"/>
        </w:rPr>
        <w:t>百分之二十</w:t>
      </w:r>
      <w:r w:rsidRPr="00EB35BE">
        <w:rPr>
          <w:rFonts w:ascii="標楷體" w:hAnsi="標楷體" w:hint="eastAsia"/>
          <w:szCs w:val="24"/>
        </w:rPr>
        <w:t>。</w:t>
      </w:r>
    </w:p>
    <w:p w14:paraId="459C8889" w14:textId="41836CA8" w:rsidR="00B27A1C" w:rsidRPr="00B27A1C" w:rsidRDefault="00B27A1C" w:rsidP="00B27A1C">
      <w:pPr>
        <w:pStyle w:val="a3"/>
        <w:overflowPunct w:val="0"/>
        <w:spacing w:afterLines="50" w:after="180" w:line="440" w:lineRule="exact"/>
        <w:ind w:leftChars="0" w:left="851"/>
        <w:jc w:val="both"/>
        <w:rPr>
          <w:szCs w:val="32"/>
        </w:rPr>
      </w:pPr>
      <w:r>
        <w:rPr>
          <w:rFonts w:hint="eastAsia"/>
          <w:szCs w:val="32"/>
        </w:rPr>
        <w:t>本學程</w:t>
      </w:r>
      <w:r w:rsidRPr="00B27A1C">
        <w:rPr>
          <w:rFonts w:hint="eastAsia"/>
          <w:szCs w:val="32"/>
        </w:rPr>
        <w:t>研究生之學位論文原創性檢查比對相似度未符前項規定者，應提出理由書，經論文指導教授確認並簽名。</w:t>
      </w:r>
    </w:p>
    <w:p w14:paraId="63FAF9F9" w14:textId="0B14300A" w:rsidR="00D51F83" w:rsidRPr="00B27A1C" w:rsidRDefault="00B27A1C" w:rsidP="00B27A1C">
      <w:pPr>
        <w:pStyle w:val="a3"/>
        <w:numPr>
          <w:ilvl w:val="0"/>
          <w:numId w:val="1"/>
        </w:numPr>
        <w:overflowPunct w:val="0"/>
        <w:spacing w:beforeLines="50" w:before="180" w:line="440" w:lineRule="exact"/>
        <w:ind w:leftChars="0" w:left="851" w:hanging="851"/>
        <w:jc w:val="both"/>
        <w:rPr>
          <w:szCs w:val="32"/>
        </w:rPr>
      </w:pPr>
      <w:r>
        <w:rPr>
          <w:rFonts w:hint="eastAsia"/>
          <w:szCs w:val="32"/>
        </w:rPr>
        <w:t>本學程</w:t>
      </w:r>
      <w:r w:rsidRPr="004C46A4">
        <w:rPr>
          <w:rFonts w:ascii="標楷體" w:hAnsi="標楷體"/>
          <w:szCs w:val="24"/>
        </w:rPr>
        <w:t>研究生</w:t>
      </w:r>
      <w:r>
        <w:rPr>
          <w:rFonts w:ascii="標楷體" w:hAnsi="標楷體" w:hint="eastAsia"/>
          <w:szCs w:val="24"/>
        </w:rPr>
        <w:t>應向</w:t>
      </w:r>
      <w:r>
        <w:rPr>
          <w:rFonts w:hint="eastAsia"/>
          <w:szCs w:val="32"/>
        </w:rPr>
        <w:t>本學程</w:t>
      </w:r>
      <w:r>
        <w:rPr>
          <w:rFonts w:ascii="標楷體" w:hAnsi="標楷體" w:hint="eastAsia"/>
          <w:szCs w:val="24"/>
        </w:rPr>
        <w:t>提交下列文件，始得</w:t>
      </w:r>
      <w:r w:rsidRPr="004C46A4">
        <w:rPr>
          <w:rFonts w:ascii="標楷體" w:hAnsi="標楷體"/>
          <w:szCs w:val="24"/>
        </w:rPr>
        <w:t>辦理畢業離校</w:t>
      </w:r>
      <w:r>
        <w:rPr>
          <w:rFonts w:ascii="標楷體" w:hAnsi="標楷體" w:hint="eastAsia"/>
          <w:szCs w:val="24"/>
        </w:rPr>
        <w:t>手續：</w:t>
      </w:r>
    </w:p>
    <w:p w14:paraId="5E862463" w14:textId="3293CDEF" w:rsidR="00B27A1C" w:rsidRPr="00B27A1C" w:rsidRDefault="00B27A1C" w:rsidP="00B27A1C">
      <w:pPr>
        <w:pStyle w:val="a3"/>
        <w:numPr>
          <w:ilvl w:val="0"/>
          <w:numId w:val="4"/>
        </w:numPr>
        <w:snapToGrid w:val="0"/>
        <w:spacing w:line="440" w:lineRule="exact"/>
        <w:ind w:leftChars="0" w:left="1331"/>
        <w:jc w:val="both"/>
        <w:rPr>
          <w:rFonts w:ascii="標楷體" w:hAnsi="標楷體"/>
          <w:szCs w:val="24"/>
        </w:rPr>
      </w:pPr>
      <w:r w:rsidRPr="00B27A1C">
        <w:rPr>
          <w:rFonts w:ascii="標楷體" w:hAnsi="標楷體" w:hint="eastAsia"/>
          <w:szCs w:val="24"/>
        </w:rPr>
        <w:t>學術倫理暨原創性比對聲明書。</w:t>
      </w:r>
    </w:p>
    <w:p w14:paraId="44874F84" w14:textId="1D05262D" w:rsidR="00B27A1C" w:rsidRPr="00B27A1C" w:rsidRDefault="00B27A1C" w:rsidP="00B27A1C">
      <w:pPr>
        <w:pStyle w:val="a3"/>
        <w:numPr>
          <w:ilvl w:val="0"/>
          <w:numId w:val="4"/>
        </w:numPr>
        <w:snapToGrid w:val="0"/>
        <w:spacing w:line="440" w:lineRule="exact"/>
        <w:ind w:leftChars="0" w:left="1331"/>
        <w:jc w:val="both"/>
        <w:rPr>
          <w:rFonts w:ascii="標楷體" w:hAnsi="標楷體"/>
          <w:szCs w:val="24"/>
        </w:rPr>
      </w:pPr>
      <w:r w:rsidRPr="00B27A1C">
        <w:rPr>
          <w:rFonts w:ascii="標楷體" w:hAnsi="標楷體" w:hint="eastAsia"/>
          <w:szCs w:val="24"/>
        </w:rPr>
        <w:t>學位論文原創性比對報告，如比對相似度未符前條第二項規定者，應另檢附經論文指導教授簽名之理由書。</w:t>
      </w:r>
    </w:p>
    <w:p w14:paraId="766FED3C" w14:textId="576B7E9C" w:rsidR="008D5C03" w:rsidRDefault="00100E67" w:rsidP="00A87800">
      <w:pPr>
        <w:pStyle w:val="a3"/>
        <w:numPr>
          <w:ilvl w:val="0"/>
          <w:numId w:val="1"/>
        </w:numPr>
        <w:overflowPunct w:val="0"/>
        <w:spacing w:beforeLines="50" w:before="180" w:afterLines="50" w:after="180" w:line="440" w:lineRule="exact"/>
        <w:ind w:leftChars="0" w:left="851" w:hanging="851"/>
        <w:jc w:val="both"/>
        <w:rPr>
          <w:szCs w:val="32"/>
        </w:rPr>
      </w:pPr>
      <w:r w:rsidRPr="003946FE">
        <w:rPr>
          <w:rFonts w:hint="eastAsia"/>
          <w:szCs w:val="32"/>
        </w:rPr>
        <w:t>本準則經</w:t>
      </w:r>
      <w:r w:rsidR="00EE29DC" w:rsidRPr="003946FE">
        <w:rPr>
          <w:rFonts w:hint="eastAsia"/>
          <w:szCs w:val="32"/>
        </w:rPr>
        <w:t>學程</w:t>
      </w:r>
      <w:r w:rsidRPr="003946FE">
        <w:rPr>
          <w:rFonts w:hint="eastAsia"/>
          <w:szCs w:val="32"/>
        </w:rPr>
        <w:t>會議及院務會議通過後，自發布日施行</w:t>
      </w:r>
      <w:r w:rsidR="00B27A1C" w:rsidRPr="00B27A1C">
        <w:rPr>
          <w:rFonts w:hint="eastAsia"/>
          <w:szCs w:val="32"/>
        </w:rPr>
        <w:t>，並報教務處備查</w:t>
      </w:r>
      <w:r w:rsidRPr="003946FE">
        <w:rPr>
          <w:rFonts w:hint="eastAsia"/>
          <w:szCs w:val="32"/>
        </w:rPr>
        <w:t>。</w:t>
      </w:r>
    </w:p>
    <w:p w14:paraId="19FA8079" w14:textId="77777777" w:rsidR="003F5FC1" w:rsidRDefault="003F5FC1" w:rsidP="003F5FC1">
      <w:pPr>
        <w:overflowPunct w:val="0"/>
        <w:spacing w:beforeLines="50" w:before="180" w:afterLines="50" w:after="180" w:line="440" w:lineRule="exact"/>
        <w:jc w:val="both"/>
        <w:rPr>
          <w:szCs w:val="32"/>
        </w:rPr>
      </w:pPr>
    </w:p>
    <w:p w14:paraId="1DF67921" w14:textId="0C4FCD75" w:rsidR="003F5FC1" w:rsidRPr="00910BD8" w:rsidRDefault="003F5FC1" w:rsidP="00910BD8">
      <w:pPr>
        <w:overflowPunct w:val="0"/>
        <w:spacing w:beforeLines="50" w:before="180" w:afterLines="50" w:after="180" w:line="440" w:lineRule="exact"/>
        <w:jc w:val="center"/>
        <w:rPr>
          <w:b/>
          <w:bCs/>
          <w:sz w:val="32"/>
          <w:szCs w:val="32"/>
        </w:rPr>
      </w:pPr>
      <w:r w:rsidRPr="00910BD8">
        <w:rPr>
          <w:b/>
          <w:bCs/>
          <w:sz w:val="32"/>
          <w:szCs w:val="32"/>
        </w:rPr>
        <w:lastRenderedPageBreak/>
        <w:t>NTU-</w:t>
      </w:r>
      <w:r w:rsidR="006E1F18" w:rsidRPr="00910BD8">
        <w:rPr>
          <w:rFonts w:hint="eastAsia"/>
          <w:b/>
          <w:bCs/>
          <w:sz w:val="32"/>
          <w:szCs w:val="32"/>
        </w:rPr>
        <w:t>MST</w:t>
      </w:r>
      <w:r w:rsidRPr="00910BD8">
        <w:rPr>
          <w:b/>
          <w:bCs/>
          <w:sz w:val="32"/>
          <w:szCs w:val="32"/>
        </w:rPr>
        <w:t xml:space="preserve"> Thesis Quality and Management Standards</w:t>
      </w:r>
    </w:p>
    <w:p w14:paraId="1391BA20" w14:textId="77777777" w:rsidR="003F5FC1" w:rsidRPr="003F5FC1" w:rsidRDefault="003F5FC1" w:rsidP="00910BD8">
      <w:pPr>
        <w:overflowPunct w:val="0"/>
        <w:spacing w:beforeLines="50" w:before="180" w:afterLines="50" w:after="180" w:line="440" w:lineRule="exact"/>
        <w:jc w:val="right"/>
        <w:rPr>
          <w:szCs w:val="32"/>
        </w:rPr>
      </w:pPr>
      <w:r w:rsidRPr="003F5FC1">
        <w:rPr>
          <w:szCs w:val="32"/>
        </w:rPr>
        <w:t>2023.12.19 Published in full</w:t>
      </w:r>
    </w:p>
    <w:p w14:paraId="589E1243" w14:textId="77777777" w:rsidR="003F5FC1" w:rsidRPr="002038EF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b/>
          <w:bCs/>
          <w:szCs w:val="32"/>
        </w:rPr>
      </w:pPr>
      <w:r w:rsidRPr="002038EF">
        <w:rPr>
          <w:b/>
          <w:bCs/>
          <w:szCs w:val="32"/>
        </w:rPr>
        <w:t>Article 1</w:t>
      </w:r>
    </w:p>
    <w:p w14:paraId="012D35EA" w14:textId="0B109372" w:rsidR="005F1342" w:rsidRPr="003F5FC1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rFonts w:hint="eastAsia"/>
          <w:szCs w:val="32"/>
        </w:rPr>
      </w:pPr>
      <w:r w:rsidRPr="003F5FC1">
        <w:rPr>
          <w:szCs w:val="32"/>
        </w:rPr>
        <w:t>The</w:t>
      </w:r>
      <w:r w:rsidR="00106C02">
        <w:rPr>
          <w:rFonts w:hint="eastAsia"/>
          <w:szCs w:val="32"/>
        </w:rPr>
        <w:t xml:space="preserve"> </w:t>
      </w:r>
      <w:r w:rsidRPr="003F5FC1">
        <w:rPr>
          <w:szCs w:val="32"/>
        </w:rPr>
        <w:t>International Graduate Program of</w:t>
      </w:r>
      <w:r w:rsidR="00106C02">
        <w:rPr>
          <w:rFonts w:hint="eastAsia"/>
          <w:szCs w:val="32"/>
        </w:rPr>
        <w:t xml:space="preserve"> Mo</w:t>
      </w:r>
      <w:r w:rsidR="00106C02">
        <w:rPr>
          <w:szCs w:val="32"/>
        </w:rPr>
        <w:t>lecular Science and Technology, Nat</w:t>
      </w:r>
      <w:r w:rsidR="00CF0AE5">
        <w:rPr>
          <w:szCs w:val="32"/>
        </w:rPr>
        <w:t>ional Taiwan University</w:t>
      </w:r>
      <w:r w:rsidRPr="003F5FC1">
        <w:rPr>
          <w:szCs w:val="32"/>
        </w:rPr>
        <w:t xml:space="preserve"> (hereinafter referred to as "the</w:t>
      </w:r>
      <w:r w:rsidR="00CF0AE5">
        <w:rPr>
          <w:rFonts w:hint="eastAsia"/>
          <w:szCs w:val="32"/>
        </w:rPr>
        <w:t xml:space="preserve"> </w:t>
      </w:r>
      <w:r w:rsidRPr="003F5FC1">
        <w:rPr>
          <w:szCs w:val="32"/>
        </w:rPr>
        <w:t>Program") hereby establishes the following Thesis Quality and Management Standards</w:t>
      </w:r>
      <w:r w:rsidR="00CF0AE5">
        <w:rPr>
          <w:rFonts w:hint="eastAsia"/>
          <w:szCs w:val="32"/>
        </w:rPr>
        <w:t xml:space="preserve"> </w:t>
      </w:r>
      <w:r w:rsidRPr="003F5FC1">
        <w:rPr>
          <w:szCs w:val="32"/>
        </w:rPr>
        <w:t>(hereinafter referred to as "the Standards") to safeguard the quality of theses submitted</w:t>
      </w:r>
      <w:r w:rsidR="00CF0AE5">
        <w:rPr>
          <w:rFonts w:hint="eastAsia"/>
          <w:szCs w:val="32"/>
        </w:rPr>
        <w:t xml:space="preserve"> </w:t>
      </w:r>
      <w:r w:rsidRPr="003F5FC1">
        <w:rPr>
          <w:szCs w:val="32"/>
        </w:rPr>
        <w:t>by the Program's graduate students. The Standards are based on the provisions of</w:t>
      </w:r>
      <w:r w:rsidR="00F06709">
        <w:rPr>
          <w:rFonts w:hint="eastAsia"/>
          <w:szCs w:val="32"/>
        </w:rPr>
        <w:t xml:space="preserve"> </w:t>
      </w:r>
      <w:r w:rsidRPr="003F5FC1">
        <w:rPr>
          <w:szCs w:val="32"/>
        </w:rPr>
        <w:t>Article 3 of the National Taiwan University Regulations for Improving the Quality of</w:t>
      </w:r>
      <w:r w:rsidR="00F06709">
        <w:rPr>
          <w:rFonts w:hint="eastAsia"/>
          <w:szCs w:val="32"/>
        </w:rPr>
        <w:t xml:space="preserve"> </w:t>
      </w:r>
      <w:r w:rsidRPr="003F5FC1">
        <w:rPr>
          <w:szCs w:val="32"/>
        </w:rPr>
        <w:t>Theses.</w:t>
      </w:r>
    </w:p>
    <w:p w14:paraId="5C00FF90" w14:textId="77777777" w:rsidR="003F5FC1" w:rsidRPr="002038EF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b/>
          <w:bCs/>
          <w:szCs w:val="32"/>
        </w:rPr>
      </w:pPr>
      <w:r w:rsidRPr="002038EF">
        <w:rPr>
          <w:b/>
          <w:bCs/>
          <w:szCs w:val="32"/>
        </w:rPr>
        <w:t>Article 2</w:t>
      </w:r>
    </w:p>
    <w:p w14:paraId="2FAB4E6D" w14:textId="31A6E4BA" w:rsidR="005F2347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szCs w:val="32"/>
        </w:rPr>
      </w:pPr>
      <w:r w:rsidRPr="003F5FC1">
        <w:rPr>
          <w:szCs w:val="32"/>
        </w:rPr>
        <w:t>A faculty member of the Program who meets the requirements of Article 69 of the</w:t>
      </w:r>
      <w:r w:rsidR="00623B51">
        <w:rPr>
          <w:rFonts w:hint="eastAsia"/>
          <w:szCs w:val="32"/>
        </w:rPr>
        <w:t xml:space="preserve"> </w:t>
      </w:r>
      <w:r w:rsidRPr="003F5FC1">
        <w:rPr>
          <w:szCs w:val="32"/>
        </w:rPr>
        <w:t>National Taiwan University Regulations may serve as a thesis advisor.</w:t>
      </w:r>
      <w:r w:rsidR="00623B51">
        <w:rPr>
          <w:rFonts w:hint="eastAsia"/>
          <w:szCs w:val="32"/>
        </w:rPr>
        <w:t xml:space="preserve"> </w:t>
      </w:r>
      <w:r w:rsidRPr="003F5FC1">
        <w:rPr>
          <w:szCs w:val="32"/>
        </w:rPr>
        <w:t>The number of new students that a faculty member of the Program may advise each</w:t>
      </w:r>
      <w:r w:rsidR="00623B51">
        <w:rPr>
          <w:rFonts w:hint="eastAsia"/>
          <w:szCs w:val="32"/>
        </w:rPr>
        <w:t xml:space="preserve"> </w:t>
      </w:r>
      <w:r w:rsidRPr="003F5FC1">
        <w:rPr>
          <w:szCs w:val="32"/>
        </w:rPr>
        <w:t xml:space="preserve">academic year is limited to </w:t>
      </w:r>
      <w:r w:rsidR="00137B21">
        <w:rPr>
          <w:szCs w:val="32"/>
        </w:rPr>
        <w:t>three</w:t>
      </w:r>
      <w:r w:rsidRPr="003F5FC1">
        <w:rPr>
          <w:szCs w:val="32"/>
        </w:rPr>
        <w:t>, and the total number of students that a faculty member</w:t>
      </w:r>
      <w:r w:rsidR="00623B51">
        <w:rPr>
          <w:rFonts w:hint="eastAsia"/>
          <w:szCs w:val="32"/>
        </w:rPr>
        <w:t xml:space="preserve"> </w:t>
      </w:r>
      <w:r w:rsidRPr="003F5FC1">
        <w:rPr>
          <w:szCs w:val="32"/>
        </w:rPr>
        <w:t xml:space="preserve">may advise is limited to </w:t>
      </w:r>
      <w:r w:rsidR="005B3B87">
        <w:rPr>
          <w:szCs w:val="32"/>
        </w:rPr>
        <w:t>six</w:t>
      </w:r>
      <w:r w:rsidRPr="003F5FC1">
        <w:rPr>
          <w:szCs w:val="32"/>
        </w:rPr>
        <w:t>.</w:t>
      </w:r>
      <w:r w:rsidR="00623B51">
        <w:rPr>
          <w:rFonts w:hint="eastAsia"/>
          <w:szCs w:val="32"/>
        </w:rPr>
        <w:t xml:space="preserve"> </w:t>
      </w:r>
      <w:r w:rsidR="005F2347" w:rsidRPr="005F2347">
        <w:rPr>
          <w:szCs w:val="32"/>
        </w:rPr>
        <w:t>If there are any objections to the aforementioned, they shall be coordinated by the Program Director and the relevant faculty members.</w:t>
      </w:r>
    </w:p>
    <w:p w14:paraId="2F9C6AFC" w14:textId="514DC5D5" w:rsidR="003F5FC1" w:rsidRPr="002038EF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b/>
          <w:bCs/>
          <w:szCs w:val="32"/>
        </w:rPr>
      </w:pPr>
      <w:r w:rsidRPr="002038EF">
        <w:rPr>
          <w:b/>
          <w:bCs/>
          <w:szCs w:val="32"/>
        </w:rPr>
        <w:t>Article 3</w:t>
      </w:r>
    </w:p>
    <w:p w14:paraId="3761B99C" w14:textId="7B1365CA" w:rsidR="003F5FC1" w:rsidRPr="003F5FC1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szCs w:val="32"/>
        </w:rPr>
      </w:pPr>
      <w:r w:rsidRPr="003F5FC1">
        <w:rPr>
          <w:szCs w:val="32"/>
        </w:rPr>
        <w:t>Thesis submitted by graduate students of the Program must be relevant to the Program's</w:t>
      </w:r>
      <w:r w:rsidR="00623B51">
        <w:rPr>
          <w:rFonts w:hint="eastAsia"/>
          <w:szCs w:val="32"/>
        </w:rPr>
        <w:t xml:space="preserve"> </w:t>
      </w:r>
      <w:r w:rsidRPr="003F5FC1">
        <w:rPr>
          <w:szCs w:val="32"/>
        </w:rPr>
        <w:t>professional field and must be reviewed and confirmed by the Program's Thesis</w:t>
      </w:r>
      <w:r w:rsidR="00623B51">
        <w:rPr>
          <w:rFonts w:hint="eastAsia"/>
          <w:szCs w:val="32"/>
        </w:rPr>
        <w:t xml:space="preserve"> </w:t>
      </w:r>
      <w:r w:rsidRPr="003F5FC1">
        <w:rPr>
          <w:szCs w:val="32"/>
        </w:rPr>
        <w:t>Examination Committee.</w:t>
      </w:r>
      <w:r w:rsidR="00623B51">
        <w:rPr>
          <w:rFonts w:hint="eastAsia"/>
          <w:szCs w:val="32"/>
        </w:rPr>
        <w:t xml:space="preserve"> </w:t>
      </w:r>
      <w:r w:rsidRPr="003F5FC1">
        <w:rPr>
          <w:szCs w:val="32"/>
        </w:rPr>
        <w:t>If a thesis submitted by a graduate student of the Program is deemed to be irrelevant to</w:t>
      </w:r>
      <w:r w:rsidR="00623B51">
        <w:rPr>
          <w:rFonts w:hint="eastAsia"/>
          <w:szCs w:val="32"/>
        </w:rPr>
        <w:t xml:space="preserve"> </w:t>
      </w:r>
      <w:r w:rsidRPr="003F5FC1">
        <w:rPr>
          <w:szCs w:val="32"/>
        </w:rPr>
        <w:t>the Program's professional field, the matter shall be handled in accordance with the</w:t>
      </w:r>
      <w:r w:rsidR="00623B51">
        <w:rPr>
          <w:rFonts w:hint="eastAsia"/>
          <w:szCs w:val="32"/>
        </w:rPr>
        <w:t xml:space="preserve"> </w:t>
      </w:r>
      <w:r w:rsidRPr="003F5FC1">
        <w:rPr>
          <w:szCs w:val="32"/>
        </w:rPr>
        <w:t>provisions of Article 10, Paragraph 2 of the National Taiwan University Regulations for</w:t>
      </w:r>
      <w:r w:rsidR="00623B51">
        <w:rPr>
          <w:rFonts w:hint="eastAsia"/>
          <w:szCs w:val="32"/>
        </w:rPr>
        <w:t xml:space="preserve"> </w:t>
      </w:r>
      <w:r w:rsidRPr="003F5FC1">
        <w:rPr>
          <w:szCs w:val="32"/>
        </w:rPr>
        <w:t>Doctoral and Master's Degree Examinations.</w:t>
      </w:r>
    </w:p>
    <w:p w14:paraId="3B1A5895" w14:textId="77777777" w:rsidR="003F5FC1" w:rsidRPr="002038EF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b/>
          <w:bCs/>
          <w:szCs w:val="32"/>
        </w:rPr>
      </w:pPr>
      <w:r w:rsidRPr="002038EF">
        <w:rPr>
          <w:b/>
          <w:bCs/>
          <w:szCs w:val="32"/>
        </w:rPr>
        <w:t>Article 4</w:t>
      </w:r>
    </w:p>
    <w:p w14:paraId="7277E651" w14:textId="12731C7C" w:rsidR="003F5FC1" w:rsidRPr="003F5FC1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szCs w:val="32"/>
        </w:rPr>
      </w:pPr>
      <w:r w:rsidRPr="003F5FC1">
        <w:rPr>
          <w:szCs w:val="32"/>
        </w:rPr>
        <w:t>After the thesis is finalized, the graduate student or the thesis advisor may arrange for the</w:t>
      </w:r>
      <w:r w:rsidR="00623B51">
        <w:rPr>
          <w:rFonts w:hint="eastAsia"/>
          <w:szCs w:val="32"/>
        </w:rPr>
        <w:t xml:space="preserve"> </w:t>
      </w:r>
      <w:r w:rsidRPr="003F5FC1">
        <w:rPr>
          <w:szCs w:val="32"/>
        </w:rPr>
        <w:t>thesis to be checked for originality. The originality check shall exclude the introduction,</w:t>
      </w:r>
      <w:r w:rsidR="00C4194A">
        <w:rPr>
          <w:rFonts w:hint="eastAsia"/>
          <w:szCs w:val="32"/>
        </w:rPr>
        <w:t xml:space="preserve"> </w:t>
      </w:r>
      <w:r w:rsidRPr="003F5FC1">
        <w:rPr>
          <w:szCs w:val="32"/>
        </w:rPr>
        <w:t>the reference list, the table of contents, and the appendices.</w:t>
      </w:r>
      <w:r w:rsidR="00C4194A">
        <w:rPr>
          <w:rFonts w:hint="eastAsia"/>
          <w:szCs w:val="32"/>
        </w:rPr>
        <w:t xml:space="preserve"> </w:t>
      </w:r>
      <w:r w:rsidRPr="003F5FC1">
        <w:rPr>
          <w:szCs w:val="32"/>
        </w:rPr>
        <w:t>The similarity rate of the originality check for the thesis under the preceding paragraph</w:t>
      </w:r>
      <w:r w:rsidR="00C4194A">
        <w:rPr>
          <w:rFonts w:hint="eastAsia"/>
          <w:szCs w:val="32"/>
        </w:rPr>
        <w:t xml:space="preserve"> </w:t>
      </w:r>
      <w:r w:rsidRPr="003F5FC1">
        <w:rPr>
          <w:szCs w:val="32"/>
        </w:rPr>
        <w:t>shall be less than 2</w:t>
      </w:r>
      <w:r w:rsidR="00D03C15">
        <w:rPr>
          <w:szCs w:val="32"/>
        </w:rPr>
        <w:t>0</w:t>
      </w:r>
      <w:r w:rsidRPr="003F5FC1">
        <w:rPr>
          <w:szCs w:val="32"/>
        </w:rPr>
        <w:t>%.</w:t>
      </w:r>
      <w:r w:rsidR="00C4194A">
        <w:rPr>
          <w:szCs w:val="32"/>
        </w:rPr>
        <w:t xml:space="preserve"> </w:t>
      </w:r>
      <w:r w:rsidRPr="003F5FC1">
        <w:rPr>
          <w:szCs w:val="32"/>
        </w:rPr>
        <w:t>If the similarity rate of the originality check for the thesis of a graduate student of the</w:t>
      </w:r>
      <w:r w:rsidR="00C4194A">
        <w:rPr>
          <w:rFonts w:hint="eastAsia"/>
          <w:szCs w:val="32"/>
        </w:rPr>
        <w:t xml:space="preserve"> </w:t>
      </w:r>
      <w:r w:rsidRPr="003F5FC1">
        <w:rPr>
          <w:szCs w:val="32"/>
        </w:rPr>
        <w:t>Program is higher than the rate prescribed in the preceding paragraph, the student shall</w:t>
      </w:r>
      <w:r w:rsidR="00C4194A">
        <w:rPr>
          <w:rFonts w:hint="eastAsia"/>
          <w:szCs w:val="32"/>
        </w:rPr>
        <w:t xml:space="preserve"> </w:t>
      </w:r>
      <w:r w:rsidRPr="003F5FC1">
        <w:rPr>
          <w:szCs w:val="32"/>
        </w:rPr>
        <w:lastRenderedPageBreak/>
        <w:t>submit a letter of explanation that has been confirmed and signed by the thesis advisor.</w:t>
      </w:r>
    </w:p>
    <w:p w14:paraId="7CCBA99B" w14:textId="77777777" w:rsidR="003F5FC1" w:rsidRPr="002038EF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b/>
          <w:bCs/>
          <w:szCs w:val="32"/>
        </w:rPr>
      </w:pPr>
      <w:r w:rsidRPr="002038EF">
        <w:rPr>
          <w:b/>
          <w:bCs/>
          <w:szCs w:val="32"/>
        </w:rPr>
        <w:t>Article 5</w:t>
      </w:r>
    </w:p>
    <w:p w14:paraId="3731653D" w14:textId="77777777" w:rsidR="00C4194A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szCs w:val="32"/>
        </w:rPr>
      </w:pPr>
      <w:r w:rsidRPr="003F5FC1">
        <w:rPr>
          <w:szCs w:val="32"/>
        </w:rPr>
        <w:t>A graduate student of the Program must submit the following documents before the</w:t>
      </w:r>
      <w:r w:rsidR="00C4194A">
        <w:rPr>
          <w:rFonts w:hint="eastAsia"/>
          <w:szCs w:val="32"/>
        </w:rPr>
        <w:t xml:space="preserve"> </w:t>
      </w:r>
      <w:r w:rsidRPr="003F5FC1">
        <w:rPr>
          <w:szCs w:val="32"/>
        </w:rPr>
        <w:t>graduation and leave-of-school procedures can be completed:</w:t>
      </w:r>
    </w:p>
    <w:p w14:paraId="7BBDD5EB" w14:textId="4E9EA51F" w:rsidR="003F5FC1" w:rsidRPr="003F5FC1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szCs w:val="32"/>
        </w:rPr>
      </w:pPr>
      <w:r w:rsidRPr="003F5FC1">
        <w:rPr>
          <w:szCs w:val="32"/>
        </w:rPr>
        <w:t>1. A statement of academic ethics and originality check.</w:t>
      </w:r>
    </w:p>
    <w:p w14:paraId="43B9E7EC" w14:textId="77777777" w:rsidR="00177DF1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szCs w:val="32"/>
        </w:rPr>
      </w:pPr>
      <w:r w:rsidRPr="003F5FC1">
        <w:rPr>
          <w:szCs w:val="32"/>
        </w:rPr>
        <w:t xml:space="preserve">2. A report of the originality check for the thesis. </w:t>
      </w:r>
    </w:p>
    <w:p w14:paraId="05A697AF" w14:textId="4426C14D" w:rsidR="003F5FC1" w:rsidRPr="003F5FC1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szCs w:val="32"/>
        </w:rPr>
      </w:pPr>
      <w:r w:rsidRPr="003F5FC1">
        <w:rPr>
          <w:szCs w:val="32"/>
        </w:rPr>
        <w:t>If the similarity rate of the</w:t>
      </w:r>
      <w:r w:rsidR="00C4194A">
        <w:rPr>
          <w:rFonts w:hint="eastAsia"/>
          <w:szCs w:val="32"/>
        </w:rPr>
        <w:t xml:space="preserve"> </w:t>
      </w:r>
      <w:r w:rsidRPr="003F5FC1">
        <w:rPr>
          <w:szCs w:val="32"/>
        </w:rPr>
        <w:t>originality check is higher than the rate prescribed in the preceding article, the</w:t>
      </w:r>
      <w:r w:rsidR="00177DF1">
        <w:rPr>
          <w:rFonts w:hint="eastAsia"/>
          <w:szCs w:val="32"/>
        </w:rPr>
        <w:t xml:space="preserve"> </w:t>
      </w:r>
      <w:r w:rsidRPr="003F5FC1">
        <w:rPr>
          <w:szCs w:val="32"/>
        </w:rPr>
        <w:t>student must also submit a letter of explanation that has been signed by the thesis</w:t>
      </w:r>
    </w:p>
    <w:p w14:paraId="6315D4A3" w14:textId="77777777" w:rsidR="003F5FC1" w:rsidRPr="003F5FC1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szCs w:val="32"/>
        </w:rPr>
      </w:pPr>
      <w:r w:rsidRPr="003F5FC1">
        <w:rPr>
          <w:szCs w:val="32"/>
        </w:rPr>
        <w:t>advisor.</w:t>
      </w:r>
    </w:p>
    <w:p w14:paraId="578B56AB" w14:textId="77777777" w:rsidR="003F5FC1" w:rsidRPr="002038EF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b/>
          <w:bCs/>
          <w:szCs w:val="32"/>
        </w:rPr>
      </w:pPr>
      <w:r w:rsidRPr="002038EF">
        <w:rPr>
          <w:b/>
          <w:bCs/>
          <w:szCs w:val="32"/>
        </w:rPr>
        <w:t>Article 6</w:t>
      </w:r>
    </w:p>
    <w:p w14:paraId="20C84571" w14:textId="62727115" w:rsidR="003F5FC1" w:rsidRPr="003F5FC1" w:rsidRDefault="003F5FC1" w:rsidP="00177DF1">
      <w:pPr>
        <w:overflowPunct w:val="0"/>
        <w:snapToGrid w:val="0"/>
        <w:spacing w:beforeLines="50" w:before="180" w:afterLines="50" w:after="180" w:line="400" w:lineRule="exact"/>
        <w:jc w:val="both"/>
        <w:rPr>
          <w:rFonts w:hint="eastAsia"/>
          <w:szCs w:val="32"/>
        </w:rPr>
      </w:pPr>
      <w:r w:rsidRPr="003F5FC1">
        <w:rPr>
          <w:szCs w:val="32"/>
        </w:rPr>
        <w:t>The Standards shall take effect on the date of their publication and shall be submitted to</w:t>
      </w:r>
      <w:r w:rsidR="00177DF1">
        <w:rPr>
          <w:rFonts w:hint="eastAsia"/>
          <w:szCs w:val="32"/>
        </w:rPr>
        <w:t xml:space="preserve"> </w:t>
      </w:r>
      <w:r w:rsidRPr="003F5FC1">
        <w:rPr>
          <w:szCs w:val="32"/>
        </w:rPr>
        <w:t>the Office of Academic Affairs at NTU for filing.</w:t>
      </w:r>
    </w:p>
    <w:sectPr w:rsidR="003F5FC1" w:rsidRPr="003F5FC1" w:rsidSect="00D51F8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8317" w14:textId="77777777" w:rsidR="00620B5B" w:rsidRDefault="00620B5B" w:rsidP="001E667C">
      <w:r>
        <w:separator/>
      </w:r>
    </w:p>
  </w:endnote>
  <w:endnote w:type="continuationSeparator" w:id="0">
    <w:p w14:paraId="222F73D8" w14:textId="77777777" w:rsidR="00620B5B" w:rsidRDefault="00620B5B" w:rsidP="001E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8C03" w14:textId="77777777" w:rsidR="00620B5B" w:rsidRDefault="00620B5B" w:rsidP="001E667C">
      <w:r>
        <w:separator/>
      </w:r>
    </w:p>
  </w:footnote>
  <w:footnote w:type="continuationSeparator" w:id="0">
    <w:p w14:paraId="049552F0" w14:textId="77777777" w:rsidR="00620B5B" w:rsidRDefault="00620B5B" w:rsidP="001E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318"/>
    <w:multiLevelType w:val="hybridMultilevel"/>
    <w:tmpl w:val="F2A43CC2"/>
    <w:lvl w:ilvl="0" w:tplc="04090015">
      <w:start w:val="1"/>
      <w:numFmt w:val="taiwaneseCountingThousand"/>
      <w:lvlText w:val="%1、"/>
      <w:lvlJc w:val="left"/>
      <w:pPr>
        <w:ind w:left="6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631" w:hanging="480"/>
      </w:pPr>
    </w:lvl>
    <w:lvl w:ilvl="2" w:tplc="0409001B" w:tentative="1">
      <w:start w:val="1"/>
      <w:numFmt w:val="lowerRoman"/>
      <w:lvlText w:val="%3."/>
      <w:lvlJc w:val="right"/>
      <w:pPr>
        <w:ind w:left="7111" w:hanging="480"/>
      </w:pPr>
    </w:lvl>
    <w:lvl w:ilvl="3" w:tplc="0409000F" w:tentative="1">
      <w:start w:val="1"/>
      <w:numFmt w:val="decimal"/>
      <w:lvlText w:val="%4."/>
      <w:lvlJc w:val="left"/>
      <w:pPr>
        <w:ind w:left="7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71" w:hanging="480"/>
      </w:pPr>
    </w:lvl>
    <w:lvl w:ilvl="5" w:tplc="0409001B" w:tentative="1">
      <w:start w:val="1"/>
      <w:numFmt w:val="lowerRoman"/>
      <w:lvlText w:val="%6."/>
      <w:lvlJc w:val="right"/>
      <w:pPr>
        <w:ind w:left="8551" w:hanging="480"/>
      </w:pPr>
    </w:lvl>
    <w:lvl w:ilvl="6" w:tplc="0409000F" w:tentative="1">
      <w:start w:val="1"/>
      <w:numFmt w:val="decimal"/>
      <w:lvlText w:val="%7."/>
      <w:lvlJc w:val="left"/>
      <w:pPr>
        <w:ind w:left="9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11" w:hanging="480"/>
      </w:pPr>
    </w:lvl>
    <w:lvl w:ilvl="8" w:tplc="0409001B" w:tentative="1">
      <w:start w:val="1"/>
      <w:numFmt w:val="lowerRoman"/>
      <w:lvlText w:val="%9."/>
      <w:lvlJc w:val="right"/>
      <w:pPr>
        <w:ind w:left="9991" w:hanging="480"/>
      </w:pPr>
    </w:lvl>
  </w:abstractNum>
  <w:abstractNum w:abstractNumId="1" w15:restartNumberingAfterBreak="0">
    <w:nsid w:val="38DF7483"/>
    <w:multiLevelType w:val="hybridMultilevel"/>
    <w:tmpl w:val="30126806"/>
    <w:lvl w:ilvl="0" w:tplc="9D228D8C">
      <w:start w:val="1"/>
      <w:numFmt w:val="taiwaneseCountingThousand"/>
      <w:lvlText w:val="第%1條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6C931C54"/>
    <w:multiLevelType w:val="hybridMultilevel"/>
    <w:tmpl w:val="2972406E"/>
    <w:lvl w:ilvl="0" w:tplc="CE60C098">
      <w:start w:val="1"/>
      <w:numFmt w:val="taiwaneseCountingThousand"/>
      <w:lvlText w:val="第%1條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89720F"/>
    <w:multiLevelType w:val="hybridMultilevel"/>
    <w:tmpl w:val="EF0A1A8E"/>
    <w:lvl w:ilvl="0" w:tplc="8B56FC86">
      <w:start w:val="1"/>
      <w:numFmt w:val="taiwaneseCountingThousand"/>
      <w:lvlText w:val="(%1)"/>
      <w:lvlJc w:val="left"/>
      <w:pPr>
        <w:ind w:left="19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83"/>
    <w:rsid w:val="000137C2"/>
    <w:rsid w:val="000D5D31"/>
    <w:rsid w:val="00100E67"/>
    <w:rsid w:val="00106C02"/>
    <w:rsid w:val="00111ECE"/>
    <w:rsid w:val="00137B21"/>
    <w:rsid w:val="00177DF1"/>
    <w:rsid w:val="001D1CC9"/>
    <w:rsid w:val="001E667C"/>
    <w:rsid w:val="002038EF"/>
    <w:rsid w:val="00204D71"/>
    <w:rsid w:val="002C37EF"/>
    <w:rsid w:val="002D3F7E"/>
    <w:rsid w:val="002D4EE1"/>
    <w:rsid w:val="002F375A"/>
    <w:rsid w:val="0034219C"/>
    <w:rsid w:val="00382DEF"/>
    <w:rsid w:val="003946FE"/>
    <w:rsid w:val="003F5FC1"/>
    <w:rsid w:val="004974D7"/>
    <w:rsid w:val="004C70B9"/>
    <w:rsid w:val="004E11F0"/>
    <w:rsid w:val="0054269F"/>
    <w:rsid w:val="00557DEC"/>
    <w:rsid w:val="005764E4"/>
    <w:rsid w:val="005B3B87"/>
    <w:rsid w:val="005B7A70"/>
    <w:rsid w:val="005F1342"/>
    <w:rsid w:val="005F2347"/>
    <w:rsid w:val="0060386C"/>
    <w:rsid w:val="00620B5B"/>
    <w:rsid w:val="00623B51"/>
    <w:rsid w:val="006E1F18"/>
    <w:rsid w:val="00700F19"/>
    <w:rsid w:val="00703854"/>
    <w:rsid w:val="00714CD9"/>
    <w:rsid w:val="007153BA"/>
    <w:rsid w:val="00763B06"/>
    <w:rsid w:val="007A0EBD"/>
    <w:rsid w:val="007B550A"/>
    <w:rsid w:val="008C68A7"/>
    <w:rsid w:val="008D099B"/>
    <w:rsid w:val="008D5C03"/>
    <w:rsid w:val="00904CDF"/>
    <w:rsid w:val="00910BD8"/>
    <w:rsid w:val="00960B08"/>
    <w:rsid w:val="009A576E"/>
    <w:rsid w:val="009C2855"/>
    <w:rsid w:val="00A07E41"/>
    <w:rsid w:val="00A707B2"/>
    <w:rsid w:val="00A87800"/>
    <w:rsid w:val="00A95E8D"/>
    <w:rsid w:val="00A96165"/>
    <w:rsid w:val="00AE4F20"/>
    <w:rsid w:val="00B27A1C"/>
    <w:rsid w:val="00B52E58"/>
    <w:rsid w:val="00B65259"/>
    <w:rsid w:val="00C4194A"/>
    <w:rsid w:val="00C914B1"/>
    <w:rsid w:val="00CB3076"/>
    <w:rsid w:val="00CC5659"/>
    <w:rsid w:val="00CD0660"/>
    <w:rsid w:val="00CF0AE5"/>
    <w:rsid w:val="00D03C15"/>
    <w:rsid w:val="00D10AF0"/>
    <w:rsid w:val="00D30E5D"/>
    <w:rsid w:val="00D51F83"/>
    <w:rsid w:val="00D65DF0"/>
    <w:rsid w:val="00D8462D"/>
    <w:rsid w:val="00D90CA6"/>
    <w:rsid w:val="00E45F17"/>
    <w:rsid w:val="00E53F43"/>
    <w:rsid w:val="00EC0080"/>
    <w:rsid w:val="00EE29DC"/>
    <w:rsid w:val="00EF6C4F"/>
    <w:rsid w:val="00F06709"/>
    <w:rsid w:val="00F222C9"/>
    <w:rsid w:val="00F41E29"/>
    <w:rsid w:val="00F53F78"/>
    <w:rsid w:val="00FC01F9"/>
    <w:rsid w:val="00F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CD7406"/>
  <w15:chartTrackingRefBased/>
  <w15:docId w15:val="{E4ED7F40-E0D1-42D1-ACE8-AD40BD33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D7"/>
    <w:pPr>
      <w:widowControl w:val="0"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66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E667C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66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E667C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26C99A81AD3BC43BBDF9C6FAB578A4C" ma:contentTypeVersion="12" ma:contentTypeDescription="建立新的文件。" ma:contentTypeScope="" ma:versionID="b7380d00ea9007b6cc4ead7ee5b987c3">
  <xsd:schema xmlns:xsd="http://www.w3.org/2001/XMLSchema" xmlns:xs="http://www.w3.org/2001/XMLSchema" xmlns:p="http://schemas.microsoft.com/office/2006/metadata/properties" xmlns:ns3="8c28c9a0-6050-4e9f-868e-265a3d3c2066" targetNamespace="http://schemas.microsoft.com/office/2006/metadata/properties" ma:root="true" ma:fieldsID="79122685e587443e82c667ea8f597802" ns3:_="">
    <xsd:import namespace="8c28c9a0-6050-4e9f-868e-265a3d3c2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8c9a0-6050-4e9f-868e-265a3d3c2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8CD30-E8BC-403A-BE6E-96A684A65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9EF38-1A9C-4C8D-8B58-498DF8572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DBAD87-6000-4B7D-A28B-3D868F347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8c9a0-6050-4e9f-868e-265a3d3c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群欣 簡</dc:creator>
  <cp:keywords/>
  <dc:description/>
  <cp:lastModifiedBy>張力仁</cp:lastModifiedBy>
  <cp:revision>25</cp:revision>
  <cp:lastPrinted>2023-09-19T03:55:00Z</cp:lastPrinted>
  <dcterms:created xsi:type="dcterms:W3CDTF">2023-12-07T07:03:00Z</dcterms:created>
  <dcterms:modified xsi:type="dcterms:W3CDTF">2024-05-28T01:51:00Z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0x010100A26C99A81AD3BC43BBDF9C6FAB578A4C</vt:lpwstr>
  </property>
</Properties>
</file>